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F164" w14:textId="77777777" w:rsidR="006971E0" w:rsidRDefault="00D03AE1" w:rsidP="00EA110B">
      <w:pPr>
        <w:spacing w:line="360" w:lineRule="auto"/>
        <w:rPr>
          <w:rStyle w:val="normaltextrun"/>
          <w:rFonts w:ascii="Georgia" w:hAnsi="Georgia" w:cs="Segoe UI"/>
          <w:b/>
          <w:bCs/>
          <w:color w:val="000000"/>
          <w:lang w:val="en-US"/>
        </w:rPr>
      </w:pPr>
      <w:r>
        <w:rPr>
          <w:rFonts w:ascii="Georgia" w:hAnsi="Georgia" w:cs="Segoe UI"/>
          <w:b/>
          <w:bCs/>
          <w:noProof/>
          <w:color w:val="000000"/>
          <w:lang w:val="en-US"/>
        </w:rPr>
        <w:drawing>
          <wp:inline distT="0" distB="0" distL="0" distR="0" wp14:anchorId="7E314A13" wp14:editId="6B5EBC46">
            <wp:extent cx="5943600" cy="14859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din-banner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32BC1" w14:textId="77777777" w:rsidR="006971E0" w:rsidRDefault="006971E0" w:rsidP="00EA110B">
      <w:pPr>
        <w:spacing w:line="360" w:lineRule="auto"/>
        <w:rPr>
          <w:rStyle w:val="normaltextrun"/>
          <w:rFonts w:ascii="Georgia" w:hAnsi="Georgia" w:cs="Segoe UI"/>
          <w:b/>
          <w:bCs/>
          <w:color w:val="000000"/>
          <w:lang w:val="en-US"/>
        </w:rPr>
      </w:pPr>
    </w:p>
    <w:p w14:paraId="04CA7313" w14:textId="6396590D" w:rsidR="00EA110B" w:rsidRDefault="000D0B66" w:rsidP="00EA110B">
      <w:pPr>
        <w:spacing w:line="360" w:lineRule="auto"/>
        <w:rPr>
          <w:rFonts w:ascii="Segoe UI" w:hAnsi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Georgia" w:hAnsi="Georgia" w:cs="Segoe UI"/>
          <w:b/>
          <w:bCs/>
          <w:color w:val="000000"/>
          <w:lang w:val="en-US"/>
        </w:rPr>
        <w:t xml:space="preserve">Lionbridge </w:t>
      </w:r>
      <w:r w:rsidR="00EA110B">
        <w:rPr>
          <w:rStyle w:val="normaltextrun"/>
          <w:rFonts w:ascii="Georgia" w:hAnsi="Georgia" w:cs="Segoe UI"/>
          <w:b/>
          <w:bCs/>
          <w:color w:val="000000"/>
          <w:lang w:val="en-US"/>
        </w:rPr>
        <w:t xml:space="preserve">Connector for </w:t>
      </w:r>
      <w:proofErr w:type="spellStart"/>
      <w:r>
        <w:rPr>
          <w:rStyle w:val="normaltextrun"/>
          <w:rFonts w:ascii="Georgia" w:hAnsi="Georgia" w:cs="Segoe UI"/>
          <w:b/>
          <w:bCs/>
          <w:color w:val="000000"/>
          <w:lang w:val="en-US"/>
        </w:rPr>
        <w:t>Sitefinity</w:t>
      </w:r>
      <w:proofErr w:type="spellEnd"/>
      <w:r w:rsidR="00EA110B">
        <w:rPr>
          <w:rStyle w:val="normaltextrun"/>
          <w:rFonts w:ascii="Georgia" w:hAnsi="Georgia" w:cs="Segoe UI"/>
          <w:b/>
          <w:bCs/>
          <w:color w:val="000000"/>
          <w:lang w:val="en-US"/>
        </w:rPr>
        <w:t xml:space="preserve"> </w:t>
      </w:r>
    </w:p>
    <w:p w14:paraId="77019209" w14:textId="458F1B0C" w:rsidR="00E057A9" w:rsidRDefault="00EA110B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  <w:r>
        <w:rPr>
          <w:rStyle w:val="normaltextrun"/>
          <w:rFonts w:ascii="Georgia" w:hAnsi="Georgia" w:cs="Segoe UI"/>
          <w:color w:val="000000"/>
          <w:lang w:val="en-US"/>
        </w:rPr>
        <w:t>Built by Progress</w:t>
      </w:r>
      <w:r w:rsidR="000A77F2">
        <w:rPr>
          <w:rStyle w:val="normaltextrun"/>
          <w:rFonts w:ascii="Georgia" w:hAnsi="Georgia" w:cs="Segoe UI"/>
          <w:color w:val="000000"/>
          <w:lang w:val="en-US"/>
        </w:rPr>
        <w:t xml:space="preserve"> Software</w:t>
      </w:r>
      <w:r>
        <w:rPr>
          <w:rStyle w:val="normaltextrun"/>
          <w:rFonts w:ascii="Georgia" w:hAnsi="Georgia" w:cs="Segoe UI"/>
          <w:color w:val="000000"/>
          <w:lang w:val="en-US"/>
        </w:rPr>
        <w:t xml:space="preserve">, the fully integrated Sitefinity Connector for Lionbridge translation capability allows users to easily select content for translation, choose one or many target languages, add-job specific information and send content out to be translated.  </w:t>
      </w:r>
    </w:p>
    <w:p w14:paraId="55D6BACC" w14:textId="1A2E2301" w:rsidR="00E057A9" w:rsidRDefault="00E057A9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  <w:r>
        <w:rPr>
          <w:rStyle w:val="normaltextrun"/>
          <w:rFonts w:ascii="Georgia" w:hAnsi="Georgia" w:cs="Segoe UI"/>
          <w:noProof/>
          <w:color w:val="000000"/>
          <w:lang w:val="en-US"/>
        </w:rPr>
        <w:drawing>
          <wp:inline distT="0" distB="0" distL="0" distR="0" wp14:anchorId="1B2DDA6F" wp14:editId="4E7CF31A">
            <wp:extent cx="5943600" cy="288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028FD" w14:textId="002EB65A" w:rsidR="005569E7" w:rsidRDefault="00EA110B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  <w:r>
        <w:rPr>
          <w:rStyle w:val="normaltextrun"/>
          <w:rFonts w:ascii="Georgia" w:hAnsi="Georgia" w:cs="Segoe UI"/>
          <w:color w:val="000000"/>
          <w:lang w:val="en-US"/>
        </w:rPr>
        <w:t xml:space="preserve">Content is packaged into a translation ready file format and is sent over to Lionbridge.  Lionbridge automatically receives the file, creates a translation job, and leverages any previously translated content from your organizations Translation Memory.  Content can then be translated </w:t>
      </w:r>
      <w:r w:rsidR="00E057A9">
        <w:rPr>
          <w:rStyle w:val="normaltextrun"/>
          <w:rFonts w:ascii="Georgia" w:hAnsi="Georgia" w:cs="Segoe UI"/>
          <w:color w:val="000000"/>
          <w:lang w:val="en-US"/>
        </w:rPr>
        <w:t>and sent back through the Connector, where the target pages are populated with the translated content.</w:t>
      </w:r>
    </w:p>
    <w:p w14:paraId="1B164E2C" w14:textId="41C1BFA8" w:rsidR="006971E0" w:rsidRDefault="006971E0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</w:p>
    <w:p w14:paraId="40E277CF" w14:textId="4B1B09A1" w:rsidR="006971E0" w:rsidRDefault="006971E0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</w:p>
    <w:p w14:paraId="674D3FA0" w14:textId="77777777" w:rsidR="006971E0" w:rsidRDefault="006971E0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</w:p>
    <w:p w14:paraId="44563231" w14:textId="0ED7DE44" w:rsidR="000A77F2" w:rsidRPr="000A77F2" w:rsidRDefault="000A77F2" w:rsidP="00EA110B">
      <w:pPr>
        <w:spacing w:line="360" w:lineRule="auto"/>
        <w:rPr>
          <w:rStyle w:val="normaltextrun"/>
          <w:rFonts w:ascii="Georgia" w:hAnsi="Georgia" w:cs="Segoe UI"/>
          <w:b/>
          <w:bCs/>
          <w:color w:val="000000"/>
          <w:lang w:val="en-US"/>
        </w:rPr>
      </w:pPr>
      <w:r w:rsidRPr="000A77F2">
        <w:rPr>
          <w:rStyle w:val="normaltextrun"/>
          <w:rFonts w:ascii="Georgia" w:hAnsi="Georgia" w:cs="Segoe UI"/>
          <w:b/>
          <w:bCs/>
          <w:color w:val="000000"/>
          <w:lang w:val="en-US"/>
        </w:rPr>
        <w:t>Connector Pricing</w:t>
      </w:r>
    </w:p>
    <w:p w14:paraId="0A76A0F6" w14:textId="1D6C03AC" w:rsidR="000A77F2" w:rsidRDefault="000A77F2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  <w:r>
        <w:rPr>
          <w:rStyle w:val="normaltextrun"/>
          <w:rFonts w:ascii="Georgia" w:hAnsi="Georgia" w:cs="Segoe UI"/>
          <w:color w:val="000000"/>
          <w:lang w:val="en-US"/>
        </w:rPr>
        <w:t>The Sitefinity Connector for Lionbridge is sold as part of the Sitefinity offerings from Progress Software.</w:t>
      </w:r>
    </w:p>
    <w:p w14:paraId="57DFACE5" w14:textId="41A82820" w:rsidR="000A77F2" w:rsidRDefault="000A77F2" w:rsidP="00EA110B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  <w:r>
        <w:rPr>
          <w:rStyle w:val="normaltextrun"/>
          <w:rFonts w:ascii="Georgia" w:hAnsi="Georgia" w:cs="Segoe UI"/>
          <w:color w:val="000000"/>
          <w:lang w:val="en-US"/>
        </w:rPr>
        <w:t>Lionbridge provides the access to allow content to leave the Connector and reach their translation service.  Lionbridge also provides support to help customers get set up, as well on-going customer technical support for customer who are having connectivity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77F2" w14:paraId="37DA74B6" w14:textId="77777777" w:rsidTr="000A77F2">
        <w:tc>
          <w:tcPr>
            <w:tcW w:w="4675" w:type="dxa"/>
          </w:tcPr>
          <w:p w14:paraId="0C4EA1B5" w14:textId="6AE1448A" w:rsidR="000A77F2" w:rsidRDefault="000A77F2" w:rsidP="005569E7">
            <w:pPr>
              <w:rPr>
                <w:rStyle w:val="normaltextrun"/>
                <w:rFonts w:ascii="Georgia" w:hAnsi="Georgia" w:cs="Segoe UI"/>
                <w:color w:val="000000"/>
                <w:lang w:val="en-US"/>
              </w:rPr>
            </w:pP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 xml:space="preserve">Certification </w:t>
            </w:r>
            <w:r w:rsidR="005569E7">
              <w:rPr>
                <w:rStyle w:val="normaltextrun"/>
                <w:rFonts w:ascii="Georgia" w:hAnsi="Georgia" w:cs="Segoe UI"/>
                <w:color w:val="000000"/>
                <w:lang w:val="en-US"/>
              </w:rPr>
              <w:t>T</w:t>
            </w: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 xml:space="preserve">esting and </w:t>
            </w:r>
            <w:r w:rsidR="005569E7">
              <w:rPr>
                <w:rStyle w:val="normaltextrun"/>
                <w:rFonts w:ascii="Georgia" w:hAnsi="Georgia" w:cs="Segoe UI"/>
                <w:color w:val="000000"/>
                <w:lang w:val="en-US"/>
              </w:rPr>
              <w:t>I</w:t>
            </w: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>mplementation</w:t>
            </w:r>
            <w:r w:rsidR="005569E7">
              <w:rPr>
                <w:rStyle w:val="normaltextrun"/>
                <w:rFonts w:ascii="Georgia" w:hAnsi="Georgia" w:cs="Segoe UI"/>
                <w:color w:val="000000"/>
                <w:lang w:val="en-US"/>
              </w:rPr>
              <w:t xml:space="preserve"> S</w:t>
            </w: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>upport</w:t>
            </w:r>
          </w:p>
        </w:tc>
        <w:tc>
          <w:tcPr>
            <w:tcW w:w="4675" w:type="dxa"/>
          </w:tcPr>
          <w:p w14:paraId="3F9E52C7" w14:textId="03730CED" w:rsidR="000A77F2" w:rsidRDefault="000A77F2" w:rsidP="005569E7">
            <w:pPr>
              <w:jc w:val="right"/>
              <w:rPr>
                <w:rStyle w:val="normaltextrun"/>
                <w:rFonts w:ascii="Georgia" w:hAnsi="Georgia" w:cs="Segoe UI"/>
                <w:color w:val="000000"/>
                <w:lang w:val="en-US"/>
              </w:rPr>
            </w:pP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>$5000 USD</w:t>
            </w:r>
          </w:p>
        </w:tc>
      </w:tr>
      <w:tr w:rsidR="000A77F2" w14:paraId="51182669" w14:textId="77777777" w:rsidTr="000A77F2">
        <w:tc>
          <w:tcPr>
            <w:tcW w:w="4675" w:type="dxa"/>
          </w:tcPr>
          <w:p w14:paraId="52BC2A7B" w14:textId="589A4F87" w:rsidR="000A77F2" w:rsidRDefault="000A77F2" w:rsidP="005569E7">
            <w:pPr>
              <w:rPr>
                <w:rStyle w:val="normaltextrun"/>
                <w:rFonts w:ascii="Georgia" w:hAnsi="Georgia" w:cs="Segoe UI"/>
                <w:color w:val="000000"/>
                <w:lang w:val="en-US"/>
              </w:rPr>
            </w:pP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 xml:space="preserve">On-going Technical Support </w:t>
            </w:r>
          </w:p>
        </w:tc>
        <w:tc>
          <w:tcPr>
            <w:tcW w:w="4675" w:type="dxa"/>
          </w:tcPr>
          <w:p w14:paraId="17B68BA6" w14:textId="7BFDB763" w:rsidR="000A77F2" w:rsidRDefault="000A77F2" w:rsidP="005569E7">
            <w:pPr>
              <w:jc w:val="right"/>
              <w:rPr>
                <w:rStyle w:val="normaltextrun"/>
                <w:rFonts w:ascii="Georgia" w:hAnsi="Georgia" w:cs="Segoe UI"/>
                <w:color w:val="000000"/>
                <w:lang w:val="en-US"/>
              </w:rPr>
            </w:pPr>
            <w:r>
              <w:rPr>
                <w:rStyle w:val="normaltextrun"/>
                <w:rFonts w:ascii="Georgia" w:hAnsi="Georgia" w:cs="Segoe UI"/>
                <w:color w:val="000000"/>
                <w:lang w:val="en-US"/>
              </w:rPr>
              <w:t>$1000/month USD</w:t>
            </w:r>
          </w:p>
        </w:tc>
      </w:tr>
    </w:tbl>
    <w:p w14:paraId="734AD6F2" w14:textId="77777777" w:rsidR="000A77F2" w:rsidRDefault="000A77F2" w:rsidP="005569E7">
      <w:pPr>
        <w:spacing w:line="360" w:lineRule="auto"/>
        <w:rPr>
          <w:rStyle w:val="normaltextrun"/>
          <w:rFonts w:ascii="Georgia" w:hAnsi="Georgia" w:cs="Segoe UI"/>
          <w:color w:val="000000"/>
          <w:lang w:val="en-US"/>
        </w:rPr>
      </w:pPr>
    </w:p>
    <w:sectPr w:rsidR="000A7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0B"/>
    <w:rsid w:val="000A77F2"/>
    <w:rsid w:val="000D0B66"/>
    <w:rsid w:val="0011401E"/>
    <w:rsid w:val="00146216"/>
    <w:rsid w:val="002E5675"/>
    <w:rsid w:val="005569E7"/>
    <w:rsid w:val="006971E0"/>
    <w:rsid w:val="00D03AE1"/>
    <w:rsid w:val="00E057A9"/>
    <w:rsid w:val="00E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FE3D"/>
  <w15:chartTrackingRefBased/>
  <w15:docId w15:val="{D10CA01B-99AF-459E-BD1F-87F7A05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A110B"/>
  </w:style>
  <w:style w:type="character" w:customStyle="1" w:styleId="eop">
    <w:name w:val="eop"/>
    <w:basedOn w:val="DefaultParagraphFont"/>
    <w:rsid w:val="00EA110B"/>
  </w:style>
  <w:style w:type="table" w:styleId="TableGrid">
    <w:name w:val="Table Grid"/>
    <w:basedOn w:val="TableNormal"/>
    <w:uiPriority w:val="39"/>
    <w:rsid w:val="000A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7DECA798742449F7D7B10635A4AE8" ma:contentTypeVersion="12" ma:contentTypeDescription="Create a new document." ma:contentTypeScope="" ma:versionID="dc7263960216d006944a1f2a2d6230bf">
  <xsd:schema xmlns:xsd="http://www.w3.org/2001/XMLSchema" xmlns:xs="http://www.w3.org/2001/XMLSchema" xmlns:p="http://schemas.microsoft.com/office/2006/metadata/properties" xmlns:ns3="d4dab7a4-3951-4ce8-9ce2-1ab9b91a49f2" xmlns:ns4="27a6d0e4-45cb-47f3-adb5-aa5493356749" targetNamespace="http://schemas.microsoft.com/office/2006/metadata/properties" ma:root="true" ma:fieldsID="14f3adaee821062bf36cd8571044aaee" ns3:_="" ns4:_="">
    <xsd:import namespace="d4dab7a4-3951-4ce8-9ce2-1ab9b91a49f2"/>
    <xsd:import namespace="27a6d0e4-45cb-47f3-adb5-aa5493356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b7a4-3951-4ce8-9ce2-1ab9b91a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d0e4-45cb-47f3-adb5-aa549335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EB088-9020-424B-8268-172BBC131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b7a4-3951-4ce8-9ce2-1ab9b91a49f2"/>
    <ds:schemaRef ds:uri="27a6d0e4-45cb-47f3-adb5-aa5493356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BB277-9947-433B-8207-45EC43285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143E6-FF83-43A4-898F-46F5BE85CA4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d4dab7a4-3951-4ce8-9ce2-1ab9b91a49f2"/>
    <ds:schemaRef ds:uri="http://schemas.microsoft.com/office/infopath/2007/PartnerControls"/>
    <ds:schemaRef ds:uri="http://schemas.openxmlformats.org/package/2006/metadata/core-properties"/>
    <ds:schemaRef ds:uri="27a6d0e4-45cb-47f3-adb5-aa549335674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Harris</dc:creator>
  <cp:keywords/>
  <dc:description/>
  <cp:lastModifiedBy>Hanshaw, Cynthia</cp:lastModifiedBy>
  <cp:revision>6</cp:revision>
  <dcterms:created xsi:type="dcterms:W3CDTF">2020-07-06T15:48:00Z</dcterms:created>
  <dcterms:modified xsi:type="dcterms:W3CDTF">2020-07-06T15:51:00Z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0x01010045E7DECA798742449F7D7B10635A4AE8</vt:lpwstr>
  </property>
</Properties>
</file>